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9D" w:rsidRPr="008A3F4D" w:rsidRDefault="0057599D" w:rsidP="008A3F4D">
      <w:pPr>
        <w:pStyle w:val="ConsPlusNormal"/>
        <w:contextualSpacing/>
        <w:jc w:val="right"/>
        <w:rPr>
          <w:sz w:val="28"/>
          <w:szCs w:val="28"/>
        </w:rPr>
      </w:pPr>
      <w:r w:rsidRPr="008A3F4D">
        <w:rPr>
          <w:sz w:val="28"/>
          <w:szCs w:val="28"/>
        </w:rPr>
        <w:t>ПРОЕКТ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8A3F4D" w:rsidP="008A3F4D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16"/>
      <w:bookmarkEnd w:id="0"/>
      <w:r w:rsidRPr="008A3F4D">
        <w:rPr>
          <w:rFonts w:ascii="Times New Roman" w:hAnsi="Times New Roman" w:cs="Times New Roman"/>
          <w:sz w:val="28"/>
          <w:szCs w:val="28"/>
        </w:rPr>
        <w:t>ПОРЯДОК</w:t>
      </w:r>
    </w:p>
    <w:p w:rsidR="0057599D" w:rsidRPr="008A3F4D" w:rsidRDefault="008A3F4D" w:rsidP="008A3F4D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3F4D">
        <w:rPr>
          <w:rFonts w:ascii="Times New Roman" w:hAnsi="Times New Roman" w:cs="Times New Roman"/>
          <w:sz w:val="28"/>
          <w:szCs w:val="28"/>
        </w:rPr>
        <w:t>ФОРМИРОВАНИЯ, ПРЕДОСТАВЛЕНИЯ И РАСПРЕДЕЛЕНИЯ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F4D">
        <w:rPr>
          <w:rFonts w:ascii="Times New Roman" w:hAnsi="Times New Roman" w:cs="Times New Roman"/>
          <w:sz w:val="28"/>
          <w:szCs w:val="28"/>
        </w:rPr>
        <w:t>НА ПРИОБРЕТЕНИЕ СПОРТИВНОГО ОБОРУДОВАНИЯ И ИНВЕНТАРЯ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F4D">
        <w:rPr>
          <w:rFonts w:ascii="Times New Roman" w:hAnsi="Times New Roman" w:cs="Times New Roman"/>
          <w:sz w:val="28"/>
          <w:szCs w:val="28"/>
        </w:rPr>
        <w:t>ДЛЯ ПРИВЕДЕНИЯ ОРГАНИЗАЦИЙ ДОПОЛНИТЕЛЬНОГО ОБРАЗОВАНИЯ</w:t>
      </w:r>
    </w:p>
    <w:p w:rsidR="0057599D" w:rsidRPr="008A3F4D" w:rsidRDefault="008A3F4D" w:rsidP="008A3F4D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3F4D">
        <w:rPr>
          <w:rFonts w:ascii="Times New Roman" w:hAnsi="Times New Roman" w:cs="Times New Roman"/>
          <w:sz w:val="28"/>
          <w:szCs w:val="28"/>
        </w:rPr>
        <w:t>СО СПЕЦИАЛЬНЫМ НАИМЕНОВАНИЕМ "СПОРТИВНАЯ ШКОЛА",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F4D">
        <w:rPr>
          <w:rFonts w:ascii="Times New Roman" w:hAnsi="Times New Roman" w:cs="Times New Roman"/>
          <w:sz w:val="28"/>
          <w:szCs w:val="28"/>
        </w:rPr>
        <w:t>ИСПОЛЬЗУЮЩИХ В СВОИХ НАИМЕНОВАНИЯХ СЛОВА "</w:t>
      </w:r>
      <w:r>
        <w:rPr>
          <w:rFonts w:ascii="Times New Roman" w:hAnsi="Times New Roman" w:cs="Times New Roman"/>
          <w:sz w:val="28"/>
          <w:szCs w:val="28"/>
        </w:rPr>
        <w:t xml:space="preserve">ОЛИМПИЙСКИЙ", "ПАРАЛИМПИЙСКИЙ", </w:t>
      </w:r>
      <w:r w:rsidRPr="008A3F4D">
        <w:rPr>
          <w:rFonts w:ascii="Times New Roman" w:hAnsi="Times New Roman" w:cs="Times New Roman"/>
          <w:sz w:val="28"/>
          <w:szCs w:val="28"/>
        </w:rPr>
        <w:t>"СУРДЛИМПИЙСКИЙ" ИЛИ ОБРАЗОВАННЫЕ НА ИХ ОСНОВЕ СЛОВА ИЛИ СЛОВОСОЧЕТАНИЯ, В НОРМАТИВНОЕ СОСТОЯНИЕ</w:t>
      </w: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bookmarkStart w:id="1" w:name="P728"/>
      <w:bookmarkEnd w:id="1"/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</w:r>
      <w:proofErr w:type="spellStart"/>
      <w:r w:rsidRPr="008A3F4D">
        <w:rPr>
          <w:sz w:val="28"/>
          <w:szCs w:val="28"/>
        </w:rPr>
        <w:t>паралимпийский</w:t>
      </w:r>
      <w:proofErr w:type="spellEnd"/>
      <w:r w:rsidRPr="008A3F4D">
        <w:rPr>
          <w:sz w:val="28"/>
          <w:szCs w:val="28"/>
        </w:rPr>
        <w:t>", "</w:t>
      </w:r>
      <w:proofErr w:type="spellStart"/>
      <w:r w:rsidRPr="008A3F4D">
        <w:rPr>
          <w:sz w:val="28"/>
          <w:szCs w:val="28"/>
        </w:rPr>
        <w:t>сурдлимпийский</w:t>
      </w:r>
      <w:proofErr w:type="spellEnd"/>
      <w:r w:rsidRPr="008A3F4D">
        <w:rPr>
          <w:sz w:val="28"/>
          <w:szCs w:val="28"/>
        </w:rPr>
        <w:t>" или образованные на их основе слова или словосочетания, в нормативное состояние (далее - Порядок) разработан в соответствии с пунктом 3 статьи 139 Бюджетного кодекса Российской Федерации, постановлениями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Федерации", от 30 сентября 2021 г. N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Федерации", постановлением Правительства Ярославской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и устанавливает правила формирования, предоставления и распределения между муниципальными образованиями Ярославской области (далее - МО ЯО) субсидии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</w:r>
      <w:proofErr w:type="spellStart"/>
      <w:r w:rsidRPr="008A3F4D">
        <w:rPr>
          <w:sz w:val="28"/>
          <w:szCs w:val="28"/>
        </w:rPr>
        <w:t>паралимпийский</w:t>
      </w:r>
      <w:proofErr w:type="spellEnd"/>
      <w:r w:rsidRPr="008A3F4D">
        <w:rPr>
          <w:sz w:val="28"/>
          <w:szCs w:val="28"/>
        </w:rPr>
        <w:t>", "</w:t>
      </w:r>
      <w:proofErr w:type="spellStart"/>
      <w:r w:rsidRPr="008A3F4D">
        <w:rPr>
          <w:sz w:val="28"/>
          <w:szCs w:val="28"/>
        </w:rPr>
        <w:t>сурдлимпийский</w:t>
      </w:r>
      <w:proofErr w:type="spellEnd"/>
      <w:r w:rsidRPr="008A3F4D">
        <w:rPr>
          <w:sz w:val="28"/>
          <w:szCs w:val="28"/>
        </w:rPr>
        <w:t xml:space="preserve">" или образованные на их основе слова или словосочетания, в нормативное состояние (далее </w:t>
      </w:r>
      <w:r w:rsidR="008A3F4D">
        <w:rPr>
          <w:sz w:val="28"/>
          <w:szCs w:val="28"/>
        </w:rPr>
        <w:t>–</w:t>
      </w:r>
      <w:r w:rsidRPr="008A3F4D">
        <w:rPr>
          <w:sz w:val="28"/>
          <w:szCs w:val="28"/>
        </w:rPr>
        <w:t xml:space="preserve"> субсидия), условия предоставления и механизм расходования субсидии.</w:t>
      </w: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Субсидия предоставляется в целях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расходных обязательств МО ЯО, возникающих при реализации мероприятий регионального проекта "Развитие физической культуры и массового спорта" </w:t>
      </w:r>
      <w:r w:rsidRPr="008A3F4D">
        <w:rPr>
          <w:sz w:val="28"/>
          <w:szCs w:val="28"/>
        </w:rPr>
        <w:lastRenderedPageBreak/>
        <w:t>по приобретению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своих наименованиях слова "олимпийский", "</w:t>
      </w:r>
      <w:proofErr w:type="spellStart"/>
      <w:r w:rsidRPr="008A3F4D">
        <w:rPr>
          <w:sz w:val="28"/>
          <w:szCs w:val="28"/>
        </w:rPr>
        <w:t>паралимпийский</w:t>
      </w:r>
      <w:proofErr w:type="spellEnd"/>
      <w:r w:rsidRPr="008A3F4D">
        <w:rPr>
          <w:sz w:val="28"/>
          <w:szCs w:val="28"/>
        </w:rPr>
        <w:t>", "</w:t>
      </w:r>
      <w:proofErr w:type="spellStart"/>
      <w:r w:rsidRPr="008A3F4D">
        <w:rPr>
          <w:sz w:val="28"/>
          <w:szCs w:val="28"/>
        </w:rPr>
        <w:t>сурдлимпийский</w:t>
      </w:r>
      <w:proofErr w:type="spellEnd"/>
      <w:r w:rsidRPr="008A3F4D">
        <w:rPr>
          <w:sz w:val="28"/>
          <w:szCs w:val="28"/>
        </w:rPr>
        <w:t>" или образованные на их основе слова или словосочетания (далее - спортивные школы олимпийского резерва), в нормативное состояние, обеспечивающих достижение показателей и результатов федерального проекта "Развитие спорта высших достижений" государственной программы Российской Федерации "Развитие физической культуры и спорта".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2. Субсидия предоставляется в пределах бюджетных ассигнований, предусмотренных законом об областном бюджете на очередной финансовый год и на плановый период, и лимитов бюджетных обязательств, доведенных до министерства спорта Ярославской области (далее -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ЯО) как главного распорядителя средств федерального бюджета, и расходуется на цели, указанные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3. Субсидия предоставляется и расходуется при соблюдении следующих условий: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наличие муниципальной программы, на </w:t>
      </w:r>
      <w:proofErr w:type="spellStart"/>
      <w:r w:rsidRPr="008A3F4D">
        <w:rPr>
          <w:sz w:val="28"/>
          <w:szCs w:val="28"/>
        </w:rPr>
        <w:t>софинансирование</w:t>
      </w:r>
      <w:proofErr w:type="spellEnd"/>
      <w:r w:rsidRPr="008A3F4D">
        <w:rPr>
          <w:sz w:val="28"/>
          <w:szCs w:val="28"/>
        </w:rPr>
        <w:t xml:space="preserve"> мероприятий которой предоставляется субсидия, направленной на достижение целей государственной программы Ярославской области "Развитие физической культуры и спорта на территории Ярославской области" на 2024 - 2030 годы, предусматривающей мероприятия в соответствии с целями, указанными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наличие в бюджете МО ЯО (сводной бюджетной росписи местного бюджета) бюджетных ассигнований на исполнение расходных обязательств МО ЯО, в целях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наличие соглашения о предоставлении субсидии (далее - соглашение), подготавливаемого (формируемого) и заключаемого между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и соответствующим МО ЯО в государственной интегрированной информационной системе управления общественными финансами "Электронный бюджет" (далее - ГИИС "Электронный бюджет") в соответствии с типовой формой, установленной Министерством финансов Российской Федерации, и пунктом 10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возврат МО ЯО в доход областного бюджета средств, источником финансового обеспечения которых является субсидия, при невыполнении МО ЯО предусмотренных соглашением обязательств по достижению значения результата использования субсидии, по соблюдению уровня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расходных обязательств из местного бюджета;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lastRenderedPageBreak/>
        <w:t>- осуществление закупок товаров, работ, услуг за счет субсидии в соответствии с требованиями постановления Правительства Ярославской области от 27.04.2016 N 501-п "Об особенностях осуществления закупок, финансируемых за счет бюджета Ярославской области".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4. Распределение субсидии между МО ЯО утверждается законом об областном бюджете на очередной финансовый год и на плановый период.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5. Субсидия имеет строго целевое назначение, в случае ее нецелевого использования подлежит взысканию в областной бюджет в соответствии с бюджетным законодательством Российской Федерации.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6. Критерием отбора МО ЯО для предоставления субсидии является наличие на территории МО ЯО спортивных школ олимпийского резерва, реализующих дополнительные образовательные программы спортивной подготовки в соответствии с федеральными стандартами спортивной подготовки за счет средств местного бюджета.</w:t>
      </w:r>
    </w:p>
    <w:p w:rsidR="0057599D" w:rsidRPr="008A3F4D" w:rsidRDefault="0057599D" w:rsidP="008A3F4D">
      <w:pPr>
        <w:pStyle w:val="a3"/>
        <w:spacing w:before="0" w:beforeAutospacing="0" w:after="0" w:afterAutospacing="0" w:line="288" w:lineRule="atLeast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Наличие на территории субъекта Российской Федерации спортивных школ олимпийского резерва, реализующих дополнительные образовательные программы спортивной подготовки в соответствии с федеральными стандартами спортивной подготовки за счет средств бюджета субъекта Российской Федерации или местного бюджета, определяется по данным федерального статистического наблюдения № 5-ФК "Сведения по подготовке спортивного резерва" (далее –  № 5-ФК) и данным федерального статистического наблюдения № 3-АФК "Сведения об адаптивной физической культуре и спорте" (далее –  № 3-АФК) за отчетный год.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7. Субсидия предоставляется на основании соглашения, подготавливаемого (формируемого) и заключаемого с использованием ГИИС "Электронный бюджет" в соответствии с типовой формой, установленной Министерством финансов Российской Федерации.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Соглашение заключается в срок не позднее 30-го дня со дня вступления в силу соглашения о предоставлении субсидии из федерального бюджета бюджету субъекта Российской Федерации, заключенного между Министерством спорта Российской Федерации и Правительством Ярославской области, в отношении субсидий, предоставляемых на </w:t>
      </w:r>
      <w:proofErr w:type="spellStart"/>
      <w:r w:rsidRPr="008A3F4D">
        <w:rPr>
          <w:sz w:val="28"/>
          <w:szCs w:val="28"/>
        </w:rPr>
        <w:t>софинансирование</w:t>
      </w:r>
      <w:proofErr w:type="spellEnd"/>
      <w:r w:rsidRPr="008A3F4D">
        <w:rPr>
          <w:sz w:val="28"/>
          <w:szCs w:val="28"/>
        </w:rPr>
        <w:t xml:space="preserve"> расходных обязательств субъекта Российской Федерации, возникающих при предоставлении субсидий или иных межбюджетных трансфертов, имеющих целевое назначение, из бюджета субъекта Российской Федерации местным бюджетам.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Соглашение заключается на период, который не может быть менее срока, на который утверждено законом об областном бюджете на очередной финансовый год и на плановый период распределение субсидий между МО ЯО.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8. Для заключения соглашения МО ЯО представляют в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следующие документы: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выписка из решения о местном бюджете (сводной бюджетной росписи) МО ЯО, подтверждающая наличие ассигнований за счет средств местного </w:t>
      </w:r>
      <w:r w:rsidRPr="008A3F4D">
        <w:rPr>
          <w:sz w:val="28"/>
          <w:szCs w:val="28"/>
        </w:rPr>
        <w:lastRenderedPageBreak/>
        <w:t xml:space="preserve">бюджета на исполнение соответствующего расходного обязательства с учетом установленного </w:t>
      </w:r>
      <w:hyperlink w:anchor="P754" w:tooltip="10.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, утвержденный Правительством Ярославской области.">
        <w:r w:rsidRPr="008A3F4D">
          <w:rPr>
            <w:sz w:val="28"/>
            <w:szCs w:val="28"/>
          </w:rPr>
          <w:t>пунктом 10</w:t>
        </w:r>
      </w:hyperlink>
      <w:r w:rsidRPr="008A3F4D">
        <w:rPr>
          <w:sz w:val="28"/>
          <w:szCs w:val="28"/>
        </w:rPr>
        <w:t xml:space="preserve"> Порядка уровня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расходного обязательства МО ЯО за счет средств федерального и областного бюджетов;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муниципальная программа, на </w:t>
      </w:r>
      <w:proofErr w:type="spellStart"/>
      <w:r w:rsidRPr="008A3F4D">
        <w:rPr>
          <w:sz w:val="28"/>
          <w:szCs w:val="28"/>
        </w:rPr>
        <w:t>софинансирование</w:t>
      </w:r>
      <w:proofErr w:type="spellEnd"/>
      <w:r w:rsidRPr="008A3F4D">
        <w:rPr>
          <w:sz w:val="28"/>
          <w:szCs w:val="28"/>
        </w:rPr>
        <w:t xml:space="preserve"> мероприятий которой предоставляется субсидия, направленная на достижение целей государственной программы Ярославской области "Развитие физической культуры и спорта на территории Ярославской области" на 2024 - 2030 годы, предусматривающая мероприятия в соответствии с целями, указанными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заявка МО ЯО на предоставление субсидии на цели, указанные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Порядка, в произвольной форме.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9. Перечень закупаемого спортивного оборудования и инвентаря определяется дополнительными образовательными программами спортивной подготовки, утвержденными спортивными школами с учетом примерных дополнительных образовательных программ спортивной подготовки.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2" w:name="P754"/>
      <w:bookmarkEnd w:id="2"/>
      <w:r w:rsidRPr="008A3F4D">
        <w:rPr>
          <w:sz w:val="28"/>
          <w:szCs w:val="28"/>
        </w:rPr>
        <w:t xml:space="preserve">10. Уровень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расходного обязательства МО ЯО за счет средств федерального и областного бюджетов не должен превышать предельный уровень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объема расходного обязательства МО ЯО, утвержденный Правительством Ярославской области.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11. Результатом использования субсидий является количество спортивных школ олимпийского резерва, в которые поставлено новое спортивное оборудование и инвентарь.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12. Размер субсидии, предоставляемой бюджету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цели, указанные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 (</w:t>
      </w:r>
      <w:proofErr w:type="spellStart"/>
      <w:r w:rsidRPr="008A3F4D">
        <w:rPr>
          <w:sz w:val="28"/>
          <w:szCs w:val="28"/>
        </w:rPr>
        <w:t>S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),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r w:rsidRPr="008A3F4D">
        <w:rPr>
          <w:noProof/>
          <w:position w:val="-41"/>
          <w:sz w:val="28"/>
          <w:szCs w:val="28"/>
        </w:rPr>
        <w:drawing>
          <wp:inline distT="0" distB="0" distL="0" distR="0" wp14:anchorId="3BF6DB61" wp14:editId="084AF2FB">
            <wp:extent cx="4754880" cy="67437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H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спортивных школ олимпийского резерва в i-м МО ЯО согласно данным и № 3-АФК за отчетный год, предшествующий году предоставления субсидии;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Y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уровень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расходного обязательства МО ЯО, установленный </w:t>
      </w:r>
      <w:hyperlink w:anchor="P754" w:tooltip="10.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, утвержденный Правительством Ярославской области.">
        <w:r w:rsidRPr="008A3F4D">
          <w:rPr>
            <w:sz w:val="28"/>
            <w:szCs w:val="28"/>
          </w:rPr>
          <w:t>пунктом 10</w:t>
        </w:r>
      </w:hyperlink>
      <w:r w:rsidRPr="008A3F4D">
        <w:rPr>
          <w:sz w:val="28"/>
          <w:szCs w:val="28"/>
        </w:rPr>
        <w:t xml:space="preserve">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K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территориальный коэффициент, равный для городских округов - 1,0, для муниципальных округов - 1,1;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Z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среднее количество тренеров-преподавателей, тренеров-преподавателей по адаптивной физической культуре и спорту (далее - тренеры-преподаватели)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высшую квалификационную категорию, рассчитанное в соответствии с пунктом 13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L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среднее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первую </w:t>
      </w:r>
      <w:r w:rsidRPr="008A3F4D">
        <w:rPr>
          <w:sz w:val="28"/>
          <w:szCs w:val="28"/>
        </w:rPr>
        <w:lastRenderedPageBreak/>
        <w:t xml:space="preserve">квалификационную категорию, рассчитанное в соответствии с </w:t>
      </w:r>
      <w:hyperlink w:anchor="P795" w:tooltip="14. Среднее количество тренеров-преподавателей в спортивных школах олимпийского резерва i-го МО ЯО, имеющих в отчетном году первую квалификационную категорию (Li), определяется по формуле:">
        <w:r w:rsidRPr="008A3F4D">
          <w:rPr>
            <w:sz w:val="28"/>
            <w:szCs w:val="28"/>
          </w:rPr>
          <w:t>пунктом 14</w:t>
        </w:r>
      </w:hyperlink>
      <w:r w:rsidRPr="008A3F4D">
        <w:rPr>
          <w:sz w:val="28"/>
          <w:szCs w:val="28"/>
        </w:rPr>
        <w:t xml:space="preserve">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O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среднее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вторую квалификационную категорию и не имеющих квалификационную категорию, рассчитанное в соответствии с </w:t>
      </w:r>
      <w:hyperlink w:anchor="P803" w:tooltip="15. Среднее количество тренеров-преподавателей в спортивных школах олимпийского резерва i-го МО ЯО, имеющих в отчетном году вторую квалификационную категорию и не имеющих квалификационную категорию (Oi), определяется по формуле:">
        <w:r w:rsidRPr="008A3F4D">
          <w:rPr>
            <w:sz w:val="28"/>
            <w:szCs w:val="28"/>
          </w:rPr>
          <w:t>пунктом 15</w:t>
        </w:r>
      </w:hyperlink>
      <w:r w:rsidRPr="008A3F4D">
        <w:rPr>
          <w:sz w:val="28"/>
          <w:szCs w:val="28"/>
        </w:rPr>
        <w:t xml:space="preserve"> Порядка;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K</w:t>
      </w:r>
      <w:r w:rsidRPr="008A3F4D">
        <w:rPr>
          <w:sz w:val="28"/>
          <w:szCs w:val="28"/>
          <w:vertAlign w:val="subscript"/>
        </w:rPr>
        <w:t>канд</w:t>
      </w:r>
      <w:proofErr w:type="spellEnd"/>
      <w:r w:rsidRPr="008A3F4D">
        <w:rPr>
          <w:sz w:val="28"/>
          <w:szCs w:val="28"/>
        </w:rPr>
        <w:t xml:space="preserve"> - коэффициент эффективности подготовки спортивного резерва для спортивных сборных команд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равный: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0,5 - для МО ЯО, в которых доля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в общем количестве обучающихся по дополнительным образовательным программам спортивной подготовки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этапах совершенствования спортивного мастерства и высшего спортивного мастерства, рассчитанная в соответствии с </w:t>
      </w:r>
      <w:hyperlink w:anchor="P810" w:tooltip="16. Доля кандидатов в спортивные сборные команды Российской Федерации в спортивных школах олимпийского резерва i-го МО ЯО в общем количестве обучающихся по дополнительным образовательным программам спортивной подготовки в спортивных школах олимпийского резерва">
        <w:r w:rsidRPr="008A3F4D">
          <w:rPr>
            <w:sz w:val="28"/>
            <w:szCs w:val="28"/>
          </w:rPr>
          <w:t>пунктом 16</w:t>
        </w:r>
      </w:hyperlink>
      <w:r w:rsidRPr="008A3F4D">
        <w:rPr>
          <w:sz w:val="28"/>
          <w:szCs w:val="28"/>
        </w:rPr>
        <w:t xml:space="preserve"> Порядка, составляет до 10 процентов (включительно);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1,0 - для МО ЯО, в которых доля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в общем количестве обучающихся по дополнительным образовательным программам спортивной подготовки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этапах совершенствования спортивного мастерства и высшего спортивного мастерства, рассчитанная в соответствии с </w:t>
      </w:r>
      <w:hyperlink w:anchor="P810" w:tooltip="16. Доля кандидатов в спортивные сборные команды Российской Федерации в спортивных школах олимпийского резерва i-го МО ЯО в общем количестве обучающихся по дополнительным образовательным программам спортивной подготовки в спортивных школах олимпийского резерва">
        <w:r w:rsidRPr="008A3F4D">
          <w:rPr>
            <w:sz w:val="28"/>
            <w:szCs w:val="28"/>
          </w:rPr>
          <w:t>пунктом 16</w:t>
        </w:r>
      </w:hyperlink>
      <w:r w:rsidRPr="008A3F4D">
        <w:rPr>
          <w:sz w:val="28"/>
          <w:szCs w:val="28"/>
        </w:rPr>
        <w:t xml:space="preserve"> Порядка, составляет от 11 до 20 процентов (включительно);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2,0 - для МО ЯО, в которых доля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в общем количестве обучающихся по дополнительным образовательным программам спортивной подготовки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этапах совершенствования спортивного мастерства и высшего спортивного мастерства, рассчитанная в соответствии с </w:t>
      </w:r>
      <w:hyperlink w:anchor="P810" w:tooltip="16. Доля кандидатов в спортивные сборные команды Российской Федерации в спортивных школах олимпийского резерва i-го МО ЯО в общем количестве обучающихся по дополнительным образовательным программам спортивной подготовки в спортивных школах олимпийского резерва">
        <w:r w:rsidRPr="008A3F4D">
          <w:rPr>
            <w:sz w:val="28"/>
            <w:szCs w:val="28"/>
          </w:rPr>
          <w:t>пунктом 16</w:t>
        </w:r>
      </w:hyperlink>
      <w:r w:rsidRPr="008A3F4D">
        <w:rPr>
          <w:sz w:val="28"/>
          <w:szCs w:val="28"/>
        </w:rPr>
        <w:t xml:space="preserve"> Порядка, составляет от 21 до 30 процентов (включительно);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3,0 - для МО ЯО, в которых доля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в общем количестве обучающихся по дополнительным образовательным программам спортивной подготовки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и на этапах совершенствования спортивного мастерства и высшего спортивного мастерства, рассчитанная в соответствии с </w:t>
      </w:r>
      <w:hyperlink w:anchor="P810" w:tooltip="16. Доля кандидатов в спортивные сборные команды Российской Федерации в спортивных школах олимпийского резерва i-го МО ЯО в общем количестве обучающихся по дополнительным образовательным программам спортивной подготовки в спортивных школах олимпийского резерва">
        <w:r w:rsidRPr="008A3F4D">
          <w:rPr>
            <w:sz w:val="28"/>
            <w:szCs w:val="28"/>
          </w:rPr>
          <w:t>пунктом 16</w:t>
        </w:r>
      </w:hyperlink>
      <w:r w:rsidRPr="008A3F4D">
        <w:rPr>
          <w:sz w:val="28"/>
          <w:szCs w:val="28"/>
        </w:rPr>
        <w:t xml:space="preserve"> Порядка, составляет более 30 процентов;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K</w:t>
      </w:r>
      <w:r w:rsidRPr="008A3F4D">
        <w:rPr>
          <w:sz w:val="28"/>
          <w:szCs w:val="28"/>
          <w:vertAlign w:val="subscript"/>
        </w:rPr>
        <w:t>расх</w:t>
      </w:r>
      <w:proofErr w:type="spellEnd"/>
      <w:r w:rsidRPr="008A3F4D">
        <w:rPr>
          <w:sz w:val="28"/>
          <w:szCs w:val="28"/>
        </w:rPr>
        <w:t xml:space="preserve"> - коэффициент расходов на материально-техническое обеспечение (спортивное оборудование, инвентарь, экипировку) из бюджета субъекта Российской Федерации, местного бюджета, внебюджетных источников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равный: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1,0 - для МО ЯО, в которых средние расходы на одно отделение по виду спорта на материально-техническое обеспечение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рассчитанные в соответствии с </w:t>
      </w:r>
      <w:hyperlink w:anchor="P820" w:tooltip="17. Средние расходы на одно отделение по виду спорта на материально-техническое обеспечение в спортивных школах олимпийского резерва i-го МО ЯО (Ri) определяются по формуле:">
        <w:r w:rsidRPr="008A3F4D">
          <w:rPr>
            <w:sz w:val="28"/>
            <w:szCs w:val="28"/>
          </w:rPr>
          <w:t>пунктом 17</w:t>
        </w:r>
      </w:hyperlink>
      <w:r w:rsidRPr="008A3F4D">
        <w:rPr>
          <w:sz w:val="28"/>
          <w:szCs w:val="28"/>
        </w:rPr>
        <w:t xml:space="preserve"> Порядка, составляют до 250 тыс. рублей (включительно);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lastRenderedPageBreak/>
        <w:t>1,1 - для МО ЯО, в которых средние расходы на одно отделение по виду спорта на материально-техническое обеспечение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рассчитанные в соответствии с </w:t>
      </w:r>
      <w:hyperlink w:anchor="P820" w:tooltip="17. Средние расходы на одно отделение по виду спорта на материально-техническое обеспечение в спортивных школах олимпийского резерва i-го МО ЯО (Ri) определяются по формуле:">
        <w:r w:rsidRPr="008A3F4D">
          <w:rPr>
            <w:sz w:val="28"/>
            <w:szCs w:val="28"/>
          </w:rPr>
          <w:t>пунктом 17</w:t>
        </w:r>
      </w:hyperlink>
      <w:r w:rsidRPr="008A3F4D">
        <w:rPr>
          <w:sz w:val="28"/>
          <w:szCs w:val="28"/>
        </w:rPr>
        <w:t xml:space="preserve"> Порядка, составляют от 251 тыс. до 750 тыс. рублей (включительно);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1,2 - для субъектов МО ЯО, в которых средние расходы на одно отделение по виду спорта на материально-техническое обеспечение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рассчитанные в соответствии с </w:t>
      </w:r>
      <w:hyperlink w:anchor="P820" w:tooltip="17. Средние расходы на одно отделение по виду спорта на материально-техническое обеспечение в спортивных школах олимпийского резерва i-го МО ЯО (Ri) определяются по формуле:">
        <w:r w:rsidRPr="008A3F4D">
          <w:rPr>
            <w:sz w:val="28"/>
            <w:szCs w:val="28"/>
          </w:rPr>
          <w:t>пунктом 17</w:t>
        </w:r>
      </w:hyperlink>
      <w:r w:rsidRPr="008A3F4D">
        <w:rPr>
          <w:sz w:val="28"/>
          <w:szCs w:val="28"/>
        </w:rPr>
        <w:t xml:space="preserve"> Порядка, составляют более 750 тыс. рублей;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БА</w:t>
      </w:r>
      <w:r w:rsidRPr="008A3F4D">
        <w:rPr>
          <w:sz w:val="28"/>
          <w:szCs w:val="28"/>
          <w:vertAlign w:val="subscript"/>
        </w:rPr>
        <w:t>общ</w:t>
      </w:r>
      <w:proofErr w:type="spellEnd"/>
      <w:r w:rsidRPr="008A3F4D">
        <w:rPr>
          <w:sz w:val="28"/>
          <w:szCs w:val="28"/>
        </w:rPr>
        <w:t xml:space="preserve"> - размер бюджетных ассигнований, предусмотренных законом об областном бюджете на очередной финансовый год и на плановый период, доведенных в установленном порядке до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на цели, указанные в </w:t>
      </w:r>
      <w:hyperlink w:anchor="P728" w:tooltip="1. Порядок формирования,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&quot;спортивная школа&quot;, использующих в своем наименовании слов">
        <w:r w:rsidRPr="008A3F4D">
          <w:rPr>
            <w:sz w:val="28"/>
            <w:szCs w:val="28"/>
          </w:rPr>
          <w:t>пункте 1</w:t>
        </w:r>
      </w:hyperlink>
      <w:r w:rsidRPr="008A3F4D">
        <w:rPr>
          <w:sz w:val="28"/>
          <w:szCs w:val="28"/>
        </w:rPr>
        <w:t xml:space="preserve"> Порядка.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3" w:name="P787"/>
      <w:bookmarkEnd w:id="3"/>
      <w:r w:rsidRPr="008A3F4D">
        <w:rPr>
          <w:sz w:val="28"/>
          <w:szCs w:val="28"/>
        </w:rPr>
        <w:t>13. Среднее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высшую квалификационную категорию (</w:t>
      </w:r>
      <w:proofErr w:type="spellStart"/>
      <w:r w:rsidRPr="008A3F4D">
        <w:rPr>
          <w:sz w:val="28"/>
          <w:szCs w:val="28"/>
        </w:rPr>
        <w:t>Z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),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Z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= </w:t>
      </w:r>
      <w:proofErr w:type="spellStart"/>
      <w:r w:rsidRPr="008A3F4D">
        <w:rPr>
          <w:sz w:val="28"/>
          <w:szCs w:val="28"/>
        </w:rPr>
        <w:t>T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/ </w:t>
      </w:r>
      <w:proofErr w:type="spellStart"/>
      <w:r w:rsidRPr="008A3F4D">
        <w:rPr>
          <w:sz w:val="28"/>
          <w:szCs w:val="28"/>
        </w:rPr>
        <w:t>H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T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высшую квалификационную категорию, согласно данным № 5-ФК и данным № 3-АФК.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4" w:name="P795"/>
      <w:bookmarkEnd w:id="4"/>
      <w:r w:rsidRPr="008A3F4D">
        <w:rPr>
          <w:sz w:val="28"/>
          <w:szCs w:val="28"/>
        </w:rPr>
        <w:t>14. Среднее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первую квалификационную категорию (</w:t>
      </w:r>
      <w:proofErr w:type="spellStart"/>
      <w:r w:rsidRPr="008A3F4D">
        <w:rPr>
          <w:sz w:val="28"/>
          <w:szCs w:val="28"/>
        </w:rPr>
        <w:t>L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),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L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= </w:t>
      </w:r>
      <w:proofErr w:type="spellStart"/>
      <w:r w:rsidRPr="008A3F4D">
        <w:rPr>
          <w:sz w:val="28"/>
          <w:szCs w:val="28"/>
        </w:rPr>
        <w:t>C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/ </w:t>
      </w:r>
      <w:proofErr w:type="spellStart"/>
      <w:r w:rsidRPr="008A3F4D">
        <w:rPr>
          <w:sz w:val="28"/>
          <w:szCs w:val="28"/>
        </w:rPr>
        <w:t>H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C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первую квалификационную категорию, согласно данным N 5-ФК и данным № 3-АФК.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5" w:name="P803"/>
      <w:bookmarkEnd w:id="5"/>
      <w:r w:rsidRPr="008A3F4D">
        <w:rPr>
          <w:sz w:val="28"/>
          <w:szCs w:val="28"/>
        </w:rPr>
        <w:t>15. Среднее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вторую квалификационную категорию и не имеющих квалификационную категорию (</w:t>
      </w:r>
      <w:proofErr w:type="spellStart"/>
      <w:r w:rsidRPr="008A3F4D">
        <w:rPr>
          <w:sz w:val="28"/>
          <w:szCs w:val="28"/>
        </w:rPr>
        <w:t>O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),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O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= </w:t>
      </w:r>
      <w:proofErr w:type="spellStart"/>
      <w:r w:rsidRPr="008A3F4D">
        <w:rPr>
          <w:sz w:val="28"/>
          <w:szCs w:val="28"/>
        </w:rPr>
        <w:t>B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/ </w:t>
      </w:r>
      <w:proofErr w:type="spellStart"/>
      <w:r w:rsidRPr="008A3F4D">
        <w:rPr>
          <w:sz w:val="28"/>
          <w:szCs w:val="28"/>
        </w:rPr>
        <w:t>H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где </w:t>
      </w:r>
      <w:proofErr w:type="spellStart"/>
      <w:r w:rsidRPr="008A3F4D">
        <w:rPr>
          <w:sz w:val="28"/>
          <w:szCs w:val="28"/>
        </w:rPr>
        <w:t>B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тренеров-преподавателей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ЯО, имеющих в отчетном году вторую квалификационную категорию и не имеющих квалификационную категорию, согласно данным № 5-ФК и данным № 3-АФК.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6" w:name="P810"/>
      <w:bookmarkEnd w:id="6"/>
      <w:r w:rsidRPr="008A3F4D">
        <w:rPr>
          <w:sz w:val="28"/>
          <w:szCs w:val="28"/>
        </w:rPr>
        <w:t>16. Доля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в общем </w:t>
      </w:r>
      <w:r w:rsidRPr="008A3F4D">
        <w:rPr>
          <w:sz w:val="28"/>
          <w:szCs w:val="28"/>
        </w:rPr>
        <w:lastRenderedPageBreak/>
        <w:t>количестве обучающихся по дополнительным образовательным программам спортивной подготовки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этапах совершенствования спортивного мастерства и высшего спортивного мастерства (</w:t>
      </w:r>
      <w:proofErr w:type="spellStart"/>
      <w:r w:rsidRPr="008A3F4D">
        <w:rPr>
          <w:sz w:val="28"/>
          <w:szCs w:val="28"/>
        </w:rPr>
        <w:t>D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  <w:lang w:val="en-US"/>
        </w:rPr>
      </w:pPr>
      <w:r w:rsidRPr="008A3F4D">
        <w:rPr>
          <w:sz w:val="28"/>
          <w:szCs w:val="28"/>
          <w:lang w:val="en-US"/>
        </w:rPr>
        <w:t>D</w:t>
      </w:r>
      <w:r w:rsidRPr="008A3F4D">
        <w:rPr>
          <w:sz w:val="28"/>
          <w:szCs w:val="28"/>
          <w:vertAlign w:val="subscript"/>
          <w:lang w:val="en-US"/>
        </w:rPr>
        <w:t>i</w:t>
      </w:r>
      <w:r w:rsidRPr="008A3F4D">
        <w:rPr>
          <w:sz w:val="28"/>
          <w:szCs w:val="28"/>
          <w:lang w:val="en-US"/>
        </w:rPr>
        <w:t xml:space="preserve"> = N</w:t>
      </w:r>
      <w:r w:rsidRPr="008A3F4D">
        <w:rPr>
          <w:sz w:val="28"/>
          <w:szCs w:val="28"/>
          <w:vertAlign w:val="subscript"/>
          <w:lang w:val="en-US"/>
        </w:rPr>
        <w:t>i</w:t>
      </w:r>
      <w:r w:rsidRPr="008A3F4D">
        <w:rPr>
          <w:sz w:val="28"/>
          <w:szCs w:val="28"/>
          <w:lang w:val="en-US"/>
        </w:rPr>
        <w:t xml:space="preserve"> / (</w:t>
      </w:r>
      <w:proofErr w:type="gramStart"/>
      <w:r w:rsidRPr="008A3F4D">
        <w:rPr>
          <w:sz w:val="28"/>
          <w:szCs w:val="28"/>
          <w:lang w:val="en-US"/>
        </w:rPr>
        <w:t>V</w:t>
      </w:r>
      <w:r w:rsidRPr="008A3F4D">
        <w:rPr>
          <w:sz w:val="28"/>
          <w:szCs w:val="28"/>
          <w:vertAlign w:val="subscript"/>
          <w:lang w:val="en-US"/>
        </w:rPr>
        <w:t>i</w:t>
      </w:r>
      <w:proofErr w:type="gramEnd"/>
      <w:r w:rsidRPr="008A3F4D">
        <w:rPr>
          <w:sz w:val="28"/>
          <w:szCs w:val="28"/>
          <w:lang w:val="en-US"/>
        </w:rPr>
        <w:t xml:space="preserve"> + </w:t>
      </w:r>
      <w:proofErr w:type="spellStart"/>
      <w:r w:rsidRPr="008A3F4D">
        <w:rPr>
          <w:sz w:val="28"/>
          <w:szCs w:val="28"/>
          <w:lang w:val="en-US"/>
        </w:rPr>
        <w:t>M</w:t>
      </w:r>
      <w:r w:rsidRPr="008A3F4D">
        <w:rPr>
          <w:sz w:val="28"/>
          <w:szCs w:val="28"/>
          <w:vertAlign w:val="subscript"/>
          <w:lang w:val="en-US"/>
        </w:rPr>
        <w:t>i</w:t>
      </w:r>
      <w:proofErr w:type="spellEnd"/>
      <w:r w:rsidRPr="008A3F4D">
        <w:rPr>
          <w:sz w:val="28"/>
          <w:szCs w:val="28"/>
          <w:lang w:val="en-US"/>
        </w:rPr>
        <w:t>) x 100%,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  <w:lang w:val="en-US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  <w:lang w:val="en-US"/>
        </w:rPr>
      </w:pPr>
      <w:r w:rsidRPr="008A3F4D">
        <w:rPr>
          <w:sz w:val="28"/>
          <w:szCs w:val="28"/>
        </w:rPr>
        <w:t>где</w:t>
      </w:r>
      <w:r w:rsidRPr="008A3F4D">
        <w:rPr>
          <w:sz w:val="28"/>
          <w:szCs w:val="28"/>
          <w:lang w:val="en-US"/>
        </w:rPr>
        <w:t>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N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кандидатов в спортивные сборные команды Российской Федерации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V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занимающихся спортивной подготовкой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этапе высшего спортивного мастерства;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M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занимающихся спортивной подготовкой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на этапе совершенствования спортивного мастерства.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Количество кандидатов в спортивные сборные команды Российской Федерации, а также количество обучающихся по дополнительным образовательным программам спортивной подготовки на этапах совершенствования спортивного мастерства и высшего спортивного мастерства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определяется по данным № 5-ФК и данным № 3-АФК.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7" w:name="P820"/>
      <w:bookmarkEnd w:id="7"/>
      <w:r w:rsidRPr="008A3F4D">
        <w:rPr>
          <w:sz w:val="28"/>
          <w:szCs w:val="28"/>
        </w:rPr>
        <w:t>17. Средние расходы на одно отделение по виду спорта на материально-техническое обеспечение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(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 определяются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= </w:t>
      </w:r>
      <w:proofErr w:type="spellStart"/>
      <w:r w:rsidRPr="008A3F4D">
        <w:rPr>
          <w:sz w:val="28"/>
          <w:szCs w:val="28"/>
        </w:rPr>
        <w:t>P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/ </w:t>
      </w:r>
      <w:proofErr w:type="spellStart"/>
      <w:r w:rsidRPr="008A3F4D">
        <w:rPr>
          <w:sz w:val="28"/>
          <w:szCs w:val="28"/>
        </w:rPr>
        <w:t>Q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P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общая сумма расходов на материально-техническое обеспечение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Q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количество отделений по видам спорта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Общая сумма расходов на материально-техническое обеспечение и количество отделений по видам спорта в спортивных школах олимпийского резерва i-</w:t>
      </w:r>
      <w:proofErr w:type="spellStart"/>
      <w:r w:rsidRPr="008A3F4D">
        <w:rPr>
          <w:sz w:val="28"/>
          <w:szCs w:val="28"/>
        </w:rPr>
        <w:t>го</w:t>
      </w:r>
      <w:proofErr w:type="spellEnd"/>
      <w:r w:rsidRPr="008A3F4D">
        <w:rPr>
          <w:sz w:val="28"/>
          <w:szCs w:val="28"/>
        </w:rPr>
        <w:t xml:space="preserve"> МО ЯО определяется по данным № 5-ФК и данным № 3-АФК.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18. Перечисление субсидии МО ЯО -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19. Оценка эффективности использования субсидии в отчетном финансовом году осуществляется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по итогам года на основании </w:t>
      </w:r>
      <w:r w:rsidRPr="008A3F4D">
        <w:rPr>
          <w:sz w:val="28"/>
          <w:szCs w:val="28"/>
        </w:rPr>
        <w:lastRenderedPageBreak/>
        <w:t>отчетных данных, представляемых МО ЯО в соответствии с пунктом 20 Порядка.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20. МО ЯО обеспечивают представление в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следующих отчетов по формам, установленным соглашением, в форме электронных документов в ГИИС "Электронный бюджет":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отчет о расходах бюджета МО ЯО, в целях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которых предоставляется субсидия, - в срок не позднее 5-го числа месяца, следующего за отчетным кварталом;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- отчет о достижении значений результатов использования субсидии: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ежегодный отчет - в течение первых 5 рабочих дней месяца, следующего за отчетным периодом;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ежегодный уточненный отчет - в срок не позднее 20 февраля года, следующего за отчетным годом.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В случае невозможности представления указанных отчетов в форме электронного документа в ГИИС "Электронный бюджет" МО ЯО представляют их на бумажном носителе в те же сроки и по тем же формам.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21.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Результативность использования субсидии (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 определяется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=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fi</w:t>
      </w:r>
      <w:proofErr w:type="spellEnd"/>
      <w:r w:rsidRPr="008A3F4D">
        <w:rPr>
          <w:sz w:val="28"/>
          <w:szCs w:val="28"/>
        </w:rPr>
        <w:t xml:space="preserve"> /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pi</w:t>
      </w:r>
      <w:proofErr w:type="spellEnd"/>
      <w:r w:rsidRPr="008A3F4D">
        <w:rPr>
          <w:sz w:val="28"/>
          <w:szCs w:val="28"/>
        </w:rPr>
        <w:t>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fi</w:t>
      </w:r>
      <w:proofErr w:type="spellEnd"/>
      <w:r w:rsidRPr="008A3F4D">
        <w:rPr>
          <w:sz w:val="28"/>
          <w:szCs w:val="28"/>
        </w:rPr>
        <w:t xml:space="preserve"> - фактическое значение соответствующего результата;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pi</w:t>
      </w:r>
      <w:proofErr w:type="spellEnd"/>
      <w:r w:rsidRPr="008A3F4D">
        <w:rPr>
          <w:sz w:val="28"/>
          <w:szCs w:val="28"/>
        </w:rPr>
        <w:t xml:space="preserve"> - плановое значение соответствующего результата.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более 0,95 результативность использования субсидии признается высокой.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от 0,85 до 0,95 результативность использования субсидии признается средней.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R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менее 0,85 результативность использования субсидии признается низкой.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Эффективность использования субсидии (</w:t>
      </w:r>
      <w:proofErr w:type="spellStart"/>
      <w:r w:rsidRPr="008A3F4D">
        <w:rPr>
          <w:sz w:val="28"/>
          <w:szCs w:val="28"/>
        </w:rPr>
        <w:t>S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>) рассчитывается по формуле: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contextualSpacing/>
        <w:jc w:val="center"/>
        <w:rPr>
          <w:sz w:val="28"/>
          <w:szCs w:val="28"/>
          <w:lang w:val="en-US"/>
        </w:rPr>
      </w:pPr>
      <w:r w:rsidRPr="008A3F4D">
        <w:rPr>
          <w:sz w:val="28"/>
          <w:szCs w:val="28"/>
          <w:lang w:val="en-US"/>
        </w:rPr>
        <w:t>S</w:t>
      </w:r>
      <w:r w:rsidRPr="008A3F4D">
        <w:rPr>
          <w:sz w:val="28"/>
          <w:szCs w:val="28"/>
          <w:vertAlign w:val="subscript"/>
          <w:lang w:val="en-US"/>
        </w:rPr>
        <w:t>i</w:t>
      </w:r>
      <w:r w:rsidRPr="008A3F4D">
        <w:rPr>
          <w:sz w:val="28"/>
          <w:szCs w:val="28"/>
          <w:lang w:val="en-US"/>
        </w:rPr>
        <w:t xml:space="preserve"> = (</w:t>
      </w:r>
      <w:proofErr w:type="spellStart"/>
      <w:proofErr w:type="gramStart"/>
      <w:r w:rsidRPr="008A3F4D">
        <w:rPr>
          <w:sz w:val="28"/>
          <w:szCs w:val="28"/>
          <w:lang w:val="en-US"/>
        </w:rPr>
        <w:t>R</w:t>
      </w:r>
      <w:r w:rsidRPr="008A3F4D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A3F4D">
        <w:rPr>
          <w:sz w:val="28"/>
          <w:szCs w:val="28"/>
          <w:lang w:val="en-US"/>
        </w:rPr>
        <w:t xml:space="preserve"> x P</w:t>
      </w:r>
      <w:r w:rsidRPr="008A3F4D">
        <w:rPr>
          <w:sz w:val="28"/>
          <w:szCs w:val="28"/>
          <w:vertAlign w:val="subscript"/>
          <w:lang w:val="en-US"/>
        </w:rPr>
        <w:t>i</w:t>
      </w:r>
      <w:r w:rsidRPr="008A3F4D">
        <w:rPr>
          <w:sz w:val="28"/>
          <w:szCs w:val="28"/>
          <w:lang w:val="en-US"/>
        </w:rPr>
        <w:t xml:space="preserve"> / F</w:t>
      </w:r>
      <w:r w:rsidRPr="008A3F4D">
        <w:rPr>
          <w:sz w:val="28"/>
          <w:szCs w:val="28"/>
          <w:vertAlign w:val="subscript"/>
          <w:lang w:val="en-US"/>
        </w:rPr>
        <w:t>i</w:t>
      </w:r>
      <w:r w:rsidRPr="008A3F4D">
        <w:rPr>
          <w:sz w:val="28"/>
          <w:szCs w:val="28"/>
          <w:lang w:val="en-US"/>
        </w:rPr>
        <w:t>) x 100%,</w:t>
      </w:r>
    </w:p>
    <w:p w:rsidR="0057599D" w:rsidRPr="008A3F4D" w:rsidRDefault="0057599D" w:rsidP="008A3F4D">
      <w:pPr>
        <w:pStyle w:val="ConsPlusNormal"/>
        <w:contextualSpacing/>
        <w:jc w:val="both"/>
        <w:rPr>
          <w:sz w:val="28"/>
          <w:szCs w:val="28"/>
          <w:lang w:val="en-US"/>
        </w:rPr>
      </w:pPr>
    </w:p>
    <w:p w:rsidR="0057599D" w:rsidRPr="008A3F4D" w:rsidRDefault="0057599D" w:rsidP="008A3F4D">
      <w:pPr>
        <w:pStyle w:val="ConsPlusNormal"/>
        <w:contextualSpacing/>
        <w:rPr>
          <w:sz w:val="28"/>
          <w:szCs w:val="28"/>
        </w:rPr>
      </w:pPr>
      <w:r w:rsidRPr="008A3F4D">
        <w:rPr>
          <w:sz w:val="28"/>
          <w:szCs w:val="28"/>
        </w:rPr>
        <w:t>где: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</w:t>
      </w:r>
      <w:proofErr w:type="spellStart"/>
      <w:r w:rsidRPr="008A3F4D">
        <w:rPr>
          <w:sz w:val="28"/>
          <w:szCs w:val="28"/>
        </w:rPr>
        <w:t>P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плановый объем бюджетных ассигнований, утвержденный в областном бюджете на финансирование мероприятия;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- </w:t>
      </w:r>
      <w:proofErr w:type="spellStart"/>
      <w:r w:rsidRPr="008A3F4D">
        <w:rPr>
          <w:sz w:val="28"/>
          <w:szCs w:val="28"/>
        </w:rPr>
        <w:t>F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- фактический объем финансирования расходов на реализацию мероприятия.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S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равном 100 и более эффективность использования субсидии признается высокой.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S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от 90 до 100 эффективность использования субсидии признается средней.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lastRenderedPageBreak/>
        <w:t xml:space="preserve">При значении показателя </w:t>
      </w:r>
      <w:proofErr w:type="spellStart"/>
      <w:r w:rsidRPr="008A3F4D">
        <w:rPr>
          <w:sz w:val="28"/>
          <w:szCs w:val="28"/>
        </w:rPr>
        <w:t>S</w:t>
      </w:r>
      <w:r w:rsidRPr="008A3F4D">
        <w:rPr>
          <w:sz w:val="28"/>
          <w:szCs w:val="28"/>
          <w:vertAlign w:val="subscript"/>
        </w:rPr>
        <w:t>i</w:t>
      </w:r>
      <w:proofErr w:type="spellEnd"/>
      <w:r w:rsidRPr="008A3F4D">
        <w:rPr>
          <w:sz w:val="28"/>
          <w:szCs w:val="28"/>
        </w:rPr>
        <w:t xml:space="preserve"> менее 90 эффективность использования субсидии признается низкой.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bookmarkStart w:id="8" w:name="P860"/>
      <w:bookmarkEnd w:id="8"/>
      <w:r w:rsidRPr="008A3F4D">
        <w:rPr>
          <w:sz w:val="28"/>
          <w:szCs w:val="28"/>
        </w:rPr>
        <w:t xml:space="preserve">22. В случае если МО ЯО по состоянию на 31 декабря года предоставления субсидии не достигнуты результаты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а также в случае выявления недостаточного </w:t>
      </w:r>
      <w:proofErr w:type="spellStart"/>
      <w:r w:rsidRPr="008A3F4D">
        <w:rPr>
          <w:sz w:val="28"/>
          <w:szCs w:val="28"/>
        </w:rPr>
        <w:t>софинансирования</w:t>
      </w:r>
      <w:proofErr w:type="spellEnd"/>
      <w:r w:rsidRPr="008A3F4D">
        <w:rPr>
          <w:sz w:val="28"/>
          <w:szCs w:val="28"/>
        </w:rPr>
        <w:t xml:space="preserve"> расходных обязательств МО ЯО из местного бюджета МО ЯО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пунктами 5.1 и 5.2 раздела 5 Правил предоставления субсидий из областного бюджета местным бюджетам Ярославской области, утвержденных постановлением Правительства Ярославской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23. Остаток субсидии, источником которой являются средства областного бюджета,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24. Ответственность за целевое использование субсидии, а также за достоверность представляемых сведений возлагается на уполномоченные органы МО ЯО.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В случае нецелевого использования субсидии к МО ЯО применяются бюджетные меры принуждения, предусмотренные законодательством Российской Федерации.</w:t>
      </w:r>
    </w:p>
    <w:p w:rsidR="0057599D" w:rsidRPr="008A3F4D" w:rsidRDefault="0057599D" w:rsidP="008A3F4D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25. Размер средств областного бюджета на реализацию мероприятий, указанных в соглашении, может быть увеличен МО ЯО в одностороннем порядке, что не влечет обязательств по увеличению размера субсидии, предоставляемой за счет средств областного бюджета.</w:t>
      </w: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bookmarkStart w:id="9" w:name="P866"/>
      <w:bookmarkEnd w:id="9"/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26. При выявлении случаев, указанных в </w:t>
      </w:r>
      <w:hyperlink w:anchor="P860" w:tooltip="22. В случае если МО ЯО по состоянию на 31 декабря года предоставления субсидии не достигнуты результаты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">
        <w:r w:rsidRPr="008A3F4D">
          <w:rPr>
            <w:sz w:val="28"/>
            <w:szCs w:val="28"/>
          </w:rPr>
          <w:t>пункте 22</w:t>
        </w:r>
      </w:hyperlink>
      <w:r w:rsidRPr="008A3F4D">
        <w:rPr>
          <w:sz w:val="28"/>
          <w:szCs w:val="28"/>
        </w:rPr>
        <w:t xml:space="preserve"> Порядка,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 в срок не позднее 15 апреля текущего финансового года представляет в министерство финансов Ярославской области информацию о возврате (невозврате) МО ЯО средств местного бюджета в областной бюджет </w:t>
      </w:r>
      <w:r w:rsidRPr="008A3F4D">
        <w:rPr>
          <w:sz w:val="28"/>
          <w:szCs w:val="28"/>
        </w:rPr>
        <w:lastRenderedPageBreak/>
        <w:t xml:space="preserve">в срок, установленный </w:t>
      </w:r>
      <w:hyperlink w:anchor="P866" w:tooltip="26. При выявлении случаев, указанных в пункте 22 Порядка, МСп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">
        <w:r w:rsidRPr="008A3F4D">
          <w:rPr>
            <w:sz w:val="28"/>
            <w:szCs w:val="28"/>
          </w:rPr>
          <w:t>абзацем первым</w:t>
        </w:r>
      </w:hyperlink>
      <w:r w:rsidRPr="008A3F4D">
        <w:rPr>
          <w:sz w:val="28"/>
          <w:szCs w:val="28"/>
        </w:rPr>
        <w:t xml:space="preserve"> данного пункта.</w:t>
      </w:r>
      <w:bookmarkStart w:id="10" w:name="_GoBack"/>
      <w:bookmarkEnd w:id="10"/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 xml:space="preserve">27. Контроль за соблюдением получателями бюджетных средств условий предоставления субсидии осуществляется </w:t>
      </w:r>
      <w:proofErr w:type="spellStart"/>
      <w:r w:rsidRPr="008A3F4D">
        <w:rPr>
          <w:sz w:val="28"/>
          <w:szCs w:val="28"/>
        </w:rPr>
        <w:t>МСп</w:t>
      </w:r>
      <w:proofErr w:type="spellEnd"/>
      <w:r w:rsidRPr="008A3F4D">
        <w:rPr>
          <w:sz w:val="28"/>
          <w:szCs w:val="28"/>
        </w:rPr>
        <w:t xml:space="preserve"> ЯО.</w:t>
      </w:r>
    </w:p>
    <w:p w:rsidR="0057599D" w:rsidRPr="008A3F4D" w:rsidRDefault="0057599D" w:rsidP="008A3F4D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8A3F4D">
        <w:rPr>
          <w:sz w:val="28"/>
          <w:szCs w:val="28"/>
        </w:rPr>
        <w:t>Контроль за целевым расходованием субсидии осуществляется в соответствии с действующим законодательством.</w:t>
      </w:r>
    </w:p>
    <w:p w:rsidR="003D2483" w:rsidRPr="008A3F4D" w:rsidRDefault="003D2483" w:rsidP="008A3F4D">
      <w:pPr>
        <w:contextualSpacing/>
        <w:rPr>
          <w:sz w:val="28"/>
          <w:szCs w:val="28"/>
        </w:rPr>
      </w:pPr>
    </w:p>
    <w:sectPr w:rsidR="003D2483" w:rsidRPr="008A3F4D" w:rsidSect="007B1A1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99D" w:rsidRDefault="0057599D" w:rsidP="0057599D">
      <w:r>
        <w:separator/>
      </w:r>
    </w:p>
  </w:endnote>
  <w:endnote w:type="continuationSeparator" w:id="0">
    <w:p w:rsidR="0057599D" w:rsidRDefault="0057599D" w:rsidP="0057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99D" w:rsidRDefault="0057599D" w:rsidP="0057599D">
      <w:r>
        <w:separator/>
      </w:r>
    </w:p>
  </w:footnote>
  <w:footnote w:type="continuationSeparator" w:id="0">
    <w:p w:rsidR="0057599D" w:rsidRDefault="0057599D" w:rsidP="00575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4005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2E02" w:rsidRPr="008A3F4D" w:rsidRDefault="00402E02">
        <w:pPr>
          <w:pStyle w:val="a4"/>
          <w:jc w:val="center"/>
          <w:rPr>
            <w:sz w:val="24"/>
            <w:szCs w:val="24"/>
          </w:rPr>
        </w:pPr>
        <w:r w:rsidRPr="008A3F4D">
          <w:rPr>
            <w:sz w:val="24"/>
            <w:szCs w:val="24"/>
          </w:rPr>
          <w:fldChar w:fldCharType="begin"/>
        </w:r>
        <w:r w:rsidRPr="008A3F4D">
          <w:rPr>
            <w:sz w:val="24"/>
            <w:szCs w:val="24"/>
          </w:rPr>
          <w:instrText>PAGE   \* MERGEFORMAT</w:instrText>
        </w:r>
        <w:r w:rsidRPr="008A3F4D">
          <w:rPr>
            <w:sz w:val="24"/>
            <w:szCs w:val="24"/>
          </w:rPr>
          <w:fldChar w:fldCharType="separate"/>
        </w:r>
        <w:r w:rsidR="007B1A1B">
          <w:rPr>
            <w:noProof/>
            <w:sz w:val="24"/>
            <w:szCs w:val="24"/>
          </w:rPr>
          <w:t>10</w:t>
        </w:r>
        <w:r w:rsidRPr="008A3F4D">
          <w:rPr>
            <w:sz w:val="24"/>
            <w:szCs w:val="24"/>
          </w:rPr>
          <w:fldChar w:fldCharType="end"/>
        </w:r>
      </w:p>
    </w:sdtContent>
  </w:sdt>
  <w:p w:rsidR="00977DBC" w:rsidRDefault="00977D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9D"/>
    <w:rsid w:val="003D2483"/>
    <w:rsid w:val="00402E02"/>
    <w:rsid w:val="0057599D"/>
    <w:rsid w:val="007B1A1B"/>
    <w:rsid w:val="008A3F4D"/>
    <w:rsid w:val="0097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A3B7"/>
  <w15:chartTrackingRefBased/>
  <w15:docId w15:val="{F5927085-86FE-4FDC-9CF0-CFB9D7DF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9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7599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7599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759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59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7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59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4133</Words>
  <Characters>23560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Горошкова Ольга Константиновна</dc:creator>
  <cp:keywords/>
  <dc:description/>
  <cp:lastModifiedBy>Овсянникова Евгения Владимировна</cp:lastModifiedBy>
  <cp:revision>4</cp:revision>
  <dcterms:created xsi:type="dcterms:W3CDTF">2026-02-13T12:15:00Z</dcterms:created>
  <dcterms:modified xsi:type="dcterms:W3CDTF">2026-02-13T13:16:00Z</dcterms:modified>
</cp:coreProperties>
</file>